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D016B4" w14:textId="77777777"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NOTA DE PRENSA</w:t>
      </w:r>
    </w:p>
    <w:p w14:paraId="3E039D14" w14:textId="3A27CB60"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p>
    <w:p w14:paraId="2BADF01E" w14:textId="6BF9D41C"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 xml:space="preserve">Potentini </w:t>
      </w:r>
      <w:r w:rsidR="00A06D2B" w:rsidRPr="00F1261D">
        <w:rPr>
          <w:rFonts w:ascii="Cambria" w:eastAsia="Times New Roman" w:hAnsi="Cambria" w:cs="Calibri"/>
          <w:b/>
          <w:bCs/>
          <w:kern w:val="0"/>
          <w:sz w:val="26"/>
          <w:szCs w:val="26"/>
          <w:lang w:val="es-DO" w:eastAsia="es-DO"/>
          <w14:ligatures w14:val="none"/>
        </w:rPr>
        <w:t>calific</w:t>
      </w:r>
      <w:r w:rsidR="00A06D2B">
        <w:rPr>
          <w:rFonts w:ascii="Cambria" w:eastAsia="Times New Roman" w:hAnsi="Cambria" w:cs="Calibri"/>
          <w:b/>
          <w:bCs/>
          <w:kern w:val="0"/>
          <w:sz w:val="26"/>
          <w:szCs w:val="26"/>
          <w:lang w:val="es-DO" w:eastAsia="es-DO"/>
          <w14:ligatures w14:val="none"/>
        </w:rPr>
        <w:t>ó</w:t>
      </w:r>
      <w:r w:rsidRPr="00F1261D">
        <w:rPr>
          <w:rFonts w:ascii="Cambria" w:eastAsia="Times New Roman" w:hAnsi="Cambria" w:cs="Calibri"/>
          <w:b/>
          <w:bCs/>
          <w:kern w:val="0"/>
          <w:sz w:val="26"/>
          <w:szCs w:val="26"/>
          <w:lang w:val="es-DO" w:eastAsia="es-DO"/>
          <w14:ligatures w14:val="none"/>
        </w:rPr>
        <w:t xml:space="preserve"> </w:t>
      </w:r>
      <w:r w:rsidR="00A06D2B">
        <w:rPr>
          <w:rFonts w:ascii="Cambria" w:eastAsia="Times New Roman" w:hAnsi="Cambria" w:cs="Calibri"/>
          <w:b/>
          <w:bCs/>
          <w:kern w:val="0"/>
          <w:sz w:val="26"/>
          <w:szCs w:val="26"/>
          <w:lang w:val="es-DO" w:eastAsia="es-DO"/>
          <w14:ligatures w14:val="none"/>
        </w:rPr>
        <w:t xml:space="preserve">la </w:t>
      </w:r>
      <w:bookmarkStart w:id="0" w:name="_GoBack"/>
      <w:bookmarkEnd w:id="0"/>
      <w:r w:rsidRPr="00F1261D">
        <w:rPr>
          <w:rFonts w:ascii="Cambria" w:eastAsia="Times New Roman" w:hAnsi="Cambria" w:cs="Calibri"/>
          <w:b/>
          <w:bCs/>
          <w:kern w:val="0"/>
          <w:sz w:val="26"/>
          <w:szCs w:val="26"/>
          <w:lang w:val="es-DO" w:eastAsia="es-DO"/>
          <w14:ligatures w14:val="none"/>
        </w:rPr>
        <w:t xml:space="preserve">sentencia del TSE sobre elecciones del </w:t>
      </w:r>
      <w:r w:rsidR="008C1F4B">
        <w:rPr>
          <w:rFonts w:ascii="Cambria" w:eastAsia="Times New Roman" w:hAnsi="Cambria" w:cs="Calibri"/>
          <w:b/>
          <w:bCs/>
          <w:kern w:val="0"/>
          <w:sz w:val="26"/>
          <w:szCs w:val="26"/>
          <w:lang w:val="es-DO" w:eastAsia="es-DO"/>
          <w14:ligatures w14:val="none"/>
        </w:rPr>
        <w:t>CARD</w:t>
      </w:r>
      <w:r w:rsidRPr="00F1261D">
        <w:rPr>
          <w:rFonts w:ascii="Cambria" w:eastAsia="Times New Roman" w:hAnsi="Cambria" w:cs="Calibri"/>
          <w:b/>
          <w:bCs/>
          <w:kern w:val="0"/>
          <w:sz w:val="26"/>
          <w:szCs w:val="26"/>
          <w:lang w:val="es-DO" w:eastAsia="es-DO"/>
          <w14:ligatures w14:val="none"/>
        </w:rPr>
        <w:t xml:space="preserve"> como atentatoria al estado de derecho y subversiva del orden constitucional</w:t>
      </w:r>
    </w:p>
    <w:p w14:paraId="4AE17F4C" w14:textId="23B1EF34"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p>
    <w:p w14:paraId="47DD5CA0" w14:textId="77777777"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Asegura TSE es incompetente para conocer conflicto de gremios, violando la constitución y varios precedentes del Tribunal Constitucional</w:t>
      </w:r>
    </w:p>
    <w:p w14:paraId="1237540C" w14:textId="7C3262BF"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p>
    <w:p w14:paraId="6FA015BE" w14:textId="340336D1"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Anuncian llevarán litigio al Tribunal Constitucional</w:t>
      </w:r>
    </w:p>
    <w:p w14:paraId="6B6EFB81" w14:textId="5D4BE8F5"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p>
    <w:p w14:paraId="1BB369D8" w14:textId="77777777"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 xml:space="preserve">Condenan poderío e injerencia del gobierno en conflicto del CARD y su afectación a la independencia e imparcialidad judicial </w:t>
      </w:r>
    </w:p>
    <w:p w14:paraId="4CF03F30" w14:textId="63876C20"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p>
    <w:p w14:paraId="37B4E55C" w14:textId="5422EA8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MX" w:eastAsia="es-DO"/>
          <w14:ligatures w14:val="none"/>
        </w:rPr>
        <w:t xml:space="preserve">Santo Domingo, Rep. Dom., </w:t>
      </w:r>
      <w:r w:rsidR="00661176">
        <w:rPr>
          <w:rFonts w:ascii="Cambria" w:eastAsia="Times New Roman" w:hAnsi="Cambria" w:cs="Calibri"/>
          <w:b/>
          <w:bCs/>
          <w:kern w:val="0"/>
          <w:sz w:val="26"/>
          <w:szCs w:val="26"/>
          <w:lang w:val="es-MX" w:eastAsia="es-DO"/>
          <w14:ligatures w14:val="none"/>
        </w:rPr>
        <w:t xml:space="preserve">domingo </w:t>
      </w:r>
      <w:r w:rsidRPr="00F1261D">
        <w:rPr>
          <w:rFonts w:ascii="Cambria" w:eastAsia="Times New Roman" w:hAnsi="Cambria" w:cs="Calibri"/>
          <w:b/>
          <w:bCs/>
          <w:kern w:val="0"/>
          <w:sz w:val="26"/>
          <w:szCs w:val="26"/>
          <w:lang w:val="es-MX" w:eastAsia="es-DO"/>
          <w14:ligatures w14:val="none"/>
        </w:rPr>
        <w:t>14 de enero del 2024.-</w:t>
      </w:r>
      <w:r w:rsidRPr="00F1261D">
        <w:rPr>
          <w:rFonts w:ascii="Cambria" w:eastAsia="Times New Roman" w:hAnsi="Cambria" w:cs="Calibri"/>
          <w:kern w:val="0"/>
          <w:sz w:val="26"/>
          <w:szCs w:val="26"/>
          <w:lang w:val="es-DO" w:eastAsia="es-DO"/>
          <w14:ligatures w14:val="none"/>
        </w:rPr>
        <w:t>. El presidente electo y juramentado del Colegio de Abogados de la República Dominicana, Trajano Vidal Potentini, calificó la sentencia dada en amparo por los jueces del Tribunal Superior Electoral (TSE), Ignacio Camacho, Fernando Fernández y Yermenos Forastieri, sobre las elecciones del Colegio de Abogados de la República Dominicana, como un atentado al estado de derecho y una subversión al orden constitucional.</w:t>
      </w:r>
    </w:p>
    <w:p w14:paraId="31CFDADB" w14:textId="1FFDB7F8"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0E0BD4A2"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Asegura TSE es incompetente para conocer conflicto de gremios, violando la constitución y varios precedentes del Tribunal Constitucional.</w:t>
      </w:r>
    </w:p>
    <w:p w14:paraId="76E912DB" w14:textId="4434D6F8" w:rsidR="00F1261D" w:rsidRPr="00F1261D" w:rsidRDefault="00F1261D" w:rsidP="00661176">
      <w:pPr>
        <w:spacing w:after="0" w:line="240" w:lineRule="atLeast"/>
        <w:jc w:val="center"/>
        <w:rPr>
          <w:rFonts w:ascii="Cambria" w:eastAsia="Times New Roman" w:hAnsi="Cambria" w:cs="Calibri"/>
          <w:kern w:val="0"/>
          <w:sz w:val="26"/>
          <w:szCs w:val="26"/>
          <w:lang w:val="es-DO" w:eastAsia="es-DO"/>
          <w14:ligatures w14:val="none"/>
        </w:rPr>
      </w:pPr>
    </w:p>
    <w:p w14:paraId="66854AC0"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Asimismo, aseguró que el Tribunal Superior Electoral, es manifiestamente incompetente para conocer de los conflictos de los gremios profesionales, con ello violando olímpicamente la constitución de la república, las leyes electorales, incluso precedentes vinculantes del Tribunal Constitucional y sus propias decisiones, lo cual ha sido explicado, recocido y reiterado por los mas connotados constitucionalistas del país.</w:t>
      </w:r>
    </w:p>
    <w:p w14:paraId="229196DF" w14:textId="17046E0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6511C8C5" w14:textId="1AE15379"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 xml:space="preserve">Sobre la ilegítima e inconstitucional sentencia evacuada en amparo del TSE, también criticó, además de no ser competente, el que se disfrace y lleve la confusión, la presunta </w:t>
      </w:r>
      <w:r w:rsidRPr="00661176">
        <w:rPr>
          <w:rFonts w:ascii="Cambria" w:eastAsia="Times New Roman" w:hAnsi="Cambria" w:cs="Calibri"/>
          <w:kern w:val="0"/>
          <w:sz w:val="26"/>
          <w:szCs w:val="26"/>
          <w:lang w:val="es-DO" w:eastAsia="es-DO"/>
          <w14:ligatures w14:val="none"/>
        </w:rPr>
        <w:t>violación</w:t>
      </w:r>
      <w:r w:rsidRPr="00F1261D">
        <w:rPr>
          <w:rFonts w:ascii="Cambria" w:eastAsia="Times New Roman" w:hAnsi="Cambria" w:cs="Calibri"/>
          <w:kern w:val="0"/>
          <w:sz w:val="26"/>
          <w:szCs w:val="26"/>
          <w:lang w:val="es-DO" w:eastAsia="es-DO"/>
          <w14:ligatures w14:val="none"/>
        </w:rPr>
        <w:t xml:space="preserve"> d</w:t>
      </w:r>
      <w:r w:rsidRPr="00F1261D">
        <w:rPr>
          <w:rFonts w:ascii="Cambria" w:eastAsia="Times New Roman" w:hAnsi="Cambria" w:cs="Calibri"/>
          <w:kern w:val="0"/>
          <w:sz w:val="26"/>
          <w:szCs w:val="26"/>
          <w:lang w:val="es-ES" w:eastAsia="es-DO"/>
          <w14:ligatures w14:val="none"/>
        </w:rPr>
        <w:t>el derecho al voto (elegir y ser elegido) como un derecho fundamental, dentro del marco de la libertad de asociación, ambos fuera de discusión y violación en el ámbito de los gremios, además de ser el único amparo, poisblemente en el mundo, que anula resoluciones, mandando inclusive a recontar votos, con plazos mínimos, pese a tratarse de una decisión dada en dispositivo, un viernes a las 8 de la noche y sin notificarla, con el imperativo de mandatos para el próximo lunes.</w:t>
      </w:r>
    </w:p>
    <w:p w14:paraId="77CB8BDB"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 xml:space="preserve">Otros yerros de la referida sentencia es que se trata de un amparo sin derechos fundamentales violados, unos accionantes sin calidad, fundamentalmente Diego </w:t>
      </w:r>
      <w:r w:rsidRPr="00F1261D">
        <w:rPr>
          <w:rFonts w:ascii="Cambria" w:eastAsia="Times New Roman" w:hAnsi="Cambria" w:cs="Calibri"/>
          <w:kern w:val="0"/>
          <w:sz w:val="26"/>
          <w:szCs w:val="26"/>
          <w:lang w:val="es-DO" w:eastAsia="es-DO"/>
          <w14:ligatures w14:val="none"/>
        </w:rPr>
        <w:lastRenderedPageBreak/>
        <w:t>José García, un fallo desbordando todas las capacidades y alcance del amparo, una comisión electoral, que pese a estar cesada en sus funciones se</w:t>
      </w:r>
      <w:r w:rsidRPr="00F1261D">
        <w:rPr>
          <w:rFonts w:ascii="Cambria" w:eastAsia="Times New Roman" w:hAnsi="Cambria" w:cs="Calibri"/>
          <w:kern w:val="0"/>
          <w:sz w:val="26"/>
          <w:szCs w:val="26"/>
          <w:lang w:eastAsia="es-DO"/>
          <w14:ligatures w14:val="none"/>
        </w:rPr>
        <w:t xml:space="preserve">, EXCLUYE del proceso, por entender que no tiene personalidad jurídica, pero de forma sorpresiva en el ordinal décimo segundo de la referida decisión, ORDENA a que dicha Comisión Nacional Electoral, realice de nuevo el cómputo de los votos sin aplicar las alianzas, todo ello sin tomar en consideración la cadena de custodia de los votos en la sede del CARD, la cual estuvo tomada durante semanas por la Policía Nacional, donde además se escenificaron amenazas, secuestros y agresiones contra sus miembros </w:t>
      </w:r>
    </w:p>
    <w:p w14:paraId="56C13E07" w14:textId="7BFC55A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4E757AEB"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 xml:space="preserve">Anuncian llevarán litigio al Tribunal Constitucional </w:t>
      </w:r>
    </w:p>
    <w:p w14:paraId="0BF96430" w14:textId="3EEBED53"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79853E9B" w14:textId="054DCE11"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Potentini informó que próximamente est</w:t>
      </w:r>
      <w:r w:rsidR="00661176">
        <w:rPr>
          <w:rFonts w:ascii="Cambria" w:eastAsia="Times New Roman" w:hAnsi="Cambria" w:cs="Calibri"/>
          <w:kern w:val="0"/>
          <w:sz w:val="26"/>
          <w:szCs w:val="26"/>
          <w:lang w:val="es-DO" w:eastAsia="es-DO"/>
          <w14:ligatures w14:val="none"/>
        </w:rPr>
        <w:t>a</w:t>
      </w:r>
      <w:r w:rsidRPr="00F1261D">
        <w:rPr>
          <w:rFonts w:ascii="Cambria" w:eastAsia="Times New Roman" w:hAnsi="Cambria" w:cs="Calibri"/>
          <w:kern w:val="0"/>
          <w:sz w:val="26"/>
          <w:szCs w:val="26"/>
          <w:lang w:val="es-DO" w:eastAsia="es-DO"/>
          <w14:ligatures w14:val="none"/>
        </w:rPr>
        <w:t>r</w:t>
      </w:r>
      <w:r w:rsidR="00FA21D8">
        <w:rPr>
          <w:rFonts w:ascii="Cambria" w:eastAsia="Times New Roman" w:hAnsi="Cambria" w:cs="Calibri"/>
          <w:kern w:val="0"/>
          <w:sz w:val="26"/>
          <w:szCs w:val="26"/>
          <w:lang w:val="es-DO" w:eastAsia="es-DO"/>
          <w14:ligatures w14:val="none"/>
        </w:rPr>
        <w:t>emos</w:t>
      </w:r>
      <w:r w:rsidRPr="00F1261D">
        <w:rPr>
          <w:rFonts w:ascii="Cambria" w:eastAsia="Times New Roman" w:hAnsi="Cambria" w:cs="Calibri"/>
          <w:kern w:val="0"/>
          <w:sz w:val="26"/>
          <w:szCs w:val="26"/>
          <w:lang w:val="es-DO" w:eastAsia="es-DO"/>
          <w14:ligatures w14:val="none"/>
        </w:rPr>
        <w:t xml:space="preserve"> llevando y continuando la lucha ante el Tribunal Constitucional Dominicano, quienes como garante de la constitución tendrán la última palabra, radicando un recurso de revisión de decisiones jurisdiccionales, conjuntamente con una demanda cautelar en suspensión de la controvertida y cuestionada decisión del Tribunal Superior Electoral.</w:t>
      </w:r>
    </w:p>
    <w:p w14:paraId="07BFB0DB" w14:textId="1A6ED2F8"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5FF06E70"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b/>
          <w:bCs/>
          <w:kern w:val="0"/>
          <w:sz w:val="26"/>
          <w:szCs w:val="26"/>
          <w:lang w:val="es-DO" w:eastAsia="es-DO"/>
          <w14:ligatures w14:val="none"/>
        </w:rPr>
        <w:t>Condenan poderío e injerencia del gobierno en el conflicto del CARD y su afectación a la independencia e imparcialidad judicial.</w:t>
      </w:r>
    </w:p>
    <w:p w14:paraId="25C9B753" w14:textId="28A02BC4"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468AAF90"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El presidente electo de los abogados tras condenar la injerencia y poderío desplegado por el gobierno, de recursos logísticos y económicos multimillonarios, para imponer su voluntad en las pasadas elecciones del gremio, hoy llevada a los estamentos judiciales, afectando peligrosamente el orden institucional y los principios de independencia e imparcialidad judicial, algo muy grave y perturbador en cualquier democracia.</w:t>
      </w:r>
    </w:p>
    <w:p w14:paraId="517DFAEF" w14:textId="23BBD679"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69107192" w14:textId="77777777"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 xml:space="preserve">El jurista también deploró que ese poderío gubernamental haya sido utilizado en su contra con maniobras, falsedades y campañas sucias, para empañar y deslegitimar su triunfo en el gremio, desde acusaciones infundadas, calumnias degradantes e incluso la compra de voluntades por encargo, de personeros y sicarios judiciales para cuestionar las alianzas y afectar su moral. </w:t>
      </w:r>
    </w:p>
    <w:p w14:paraId="13F0B889" w14:textId="6E3F9CCE"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4799883C" w14:textId="23DD4144"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r w:rsidRPr="00F1261D">
        <w:rPr>
          <w:rFonts w:ascii="Cambria" w:eastAsia="Times New Roman" w:hAnsi="Cambria" w:cs="Calibri"/>
          <w:kern w:val="0"/>
          <w:sz w:val="26"/>
          <w:szCs w:val="26"/>
          <w:lang w:val="es-DO" w:eastAsia="es-DO"/>
          <w14:ligatures w14:val="none"/>
        </w:rPr>
        <w:t xml:space="preserve">Potentini, recordó y reiteró su denuncia, sobre el modo avasallante del candidato del gobierno contra nuestra plancha, afectándonos fundamentalmente en el Distrito Nacional, la provincia de Santo Domingo y otras comunidades, con votos duplicados, compra de votos, votos nuestros no computados y otros anulados, actas con incongruencias, coacción y línea obligatoria a empleados, </w:t>
      </w:r>
      <w:r w:rsidR="000247BF">
        <w:rPr>
          <w:rFonts w:ascii="Cambria" w:eastAsia="Times New Roman" w:hAnsi="Cambria" w:cs="Calibri"/>
          <w:kern w:val="0"/>
          <w:sz w:val="26"/>
          <w:szCs w:val="26"/>
          <w:lang w:val="es-DO" w:eastAsia="es-DO"/>
          <w14:ligatures w14:val="none"/>
        </w:rPr>
        <w:t>cuya denuncia nunca pudo ser atendida por la presión del candidato oficialista, e</w:t>
      </w:r>
      <w:r w:rsidRPr="00F1261D">
        <w:rPr>
          <w:rFonts w:ascii="Cambria" w:eastAsia="Times New Roman" w:hAnsi="Cambria" w:cs="Calibri"/>
          <w:kern w:val="0"/>
          <w:sz w:val="26"/>
          <w:szCs w:val="26"/>
          <w:lang w:val="es-DO" w:eastAsia="es-DO"/>
          <w14:ligatures w14:val="none"/>
        </w:rPr>
        <w:t xml:space="preserve">n fin, </w:t>
      </w:r>
      <w:r w:rsidRPr="00F1261D">
        <w:rPr>
          <w:rFonts w:ascii="Cambria" w:eastAsia="Times New Roman" w:hAnsi="Cambria" w:cs="Calibri"/>
          <w:kern w:val="0"/>
          <w:sz w:val="26"/>
          <w:szCs w:val="26"/>
          <w:lang w:val="es-DO" w:eastAsia="es-DO"/>
          <w14:ligatures w14:val="none"/>
        </w:rPr>
        <w:lastRenderedPageBreak/>
        <w:t xml:space="preserve">un despliegue de recursos que solo nos lleva a rememorar el paisaje bíblico de David contra Goliat, cuya batalla </w:t>
      </w:r>
      <w:r w:rsidR="00661176" w:rsidRPr="00F1261D">
        <w:rPr>
          <w:rFonts w:ascii="Cambria" w:eastAsia="Times New Roman" w:hAnsi="Cambria" w:cs="Calibri"/>
          <w:kern w:val="0"/>
          <w:sz w:val="26"/>
          <w:szCs w:val="26"/>
          <w:lang w:val="es-DO" w:eastAsia="es-DO"/>
          <w14:ligatures w14:val="none"/>
        </w:rPr>
        <w:t>aún</w:t>
      </w:r>
      <w:r w:rsidRPr="00F1261D">
        <w:rPr>
          <w:rFonts w:ascii="Cambria" w:eastAsia="Times New Roman" w:hAnsi="Cambria" w:cs="Calibri"/>
          <w:kern w:val="0"/>
          <w:sz w:val="26"/>
          <w:szCs w:val="26"/>
          <w:lang w:val="es-DO" w:eastAsia="es-DO"/>
          <w14:ligatures w14:val="none"/>
        </w:rPr>
        <w:t xml:space="preserve"> no termina.</w:t>
      </w:r>
    </w:p>
    <w:p w14:paraId="38B2E4BC" w14:textId="44B92FC3" w:rsidR="00F1261D" w:rsidRPr="00F1261D" w:rsidRDefault="00F1261D" w:rsidP="00661176">
      <w:pPr>
        <w:spacing w:after="0" w:line="240" w:lineRule="atLeast"/>
        <w:jc w:val="both"/>
        <w:rPr>
          <w:rFonts w:ascii="Cambria" w:eastAsia="Times New Roman" w:hAnsi="Cambria" w:cs="Calibri"/>
          <w:kern w:val="0"/>
          <w:sz w:val="26"/>
          <w:szCs w:val="26"/>
          <w:lang w:val="es-DO" w:eastAsia="es-DO"/>
          <w14:ligatures w14:val="none"/>
        </w:rPr>
      </w:pPr>
    </w:p>
    <w:p w14:paraId="17945653" w14:textId="64E0761D" w:rsidR="00942D17" w:rsidRDefault="00661176" w:rsidP="00661176">
      <w:pPr>
        <w:spacing w:after="0" w:line="240" w:lineRule="atLeast"/>
        <w:jc w:val="both"/>
        <w:rPr>
          <w:rFonts w:ascii="Cambria" w:eastAsia="Times New Roman" w:hAnsi="Cambria" w:cs="Calibri"/>
          <w:kern w:val="0"/>
          <w:sz w:val="26"/>
          <w:szCs w:val="26"/>
          <w:lang w:val="es-DO" w:eastAsia="es-DO"/>
          <w14:ligatures w14:val="none"/>
        </w:rPr>
      </w:pPr>
      <w:r>
        <w:rPr>
          <w:rFonts w:ascii="Cambria" w:eastAsia="Times New Roman" w:hAnsi="Cambria" w:cs="Calibri"/>
          <w:kern w:val="0"/>
          <w:sz w:val="26"/>
          <w:szCs w:val="26"/>
          <w:lang w:val="es-DO" w:eastAsia="es-DO"/>
          <w14:ligatures w14:val="none"/>
        </w:rPr>
        <w:t xml:space="preserve">En otro orden lamentamos el giro político que el gobierno </w:t>
      </w:r>
      <w:r w:rsidR="00942D17">
        <w:rPr>
          <w:rFonts w:ascii="Cambria" w:eastAsia="Times New Roman" w:hAnsi="Cambria" w:cs="Calibri"/>
          <w:kern w:val="0"/>
          <w:sz w:val="26"/>
          <w:szCs w:val="26"/>
          <w:lang w:val="es-DO" w:eastAsia="es-DO"/>
          <w14:ligatures w14:val="none"/>
        </w:rPr>
        <w:t xml:space="preserve">y </w:t>
      </w:r>
      <w:r>
        <w:rPr>
          <w:rFonts w:ascii="Cambria" w:eastAsia="Times New Roman" w:hAnsi="Cambria" w:cs="Calibri"/>
          <w:kern w:val="0"/>
          <w:sz w:val="26"/>
          <w:szCs w:val="26"/>
          <w:lang w:val="es-DO" w:eastAsia="es-DO"/>
          <w14:ligatures w14:val="none"/>
        </w:rPr>
        <w:t xml:space="preserve">el </w:t>
      </w:r>
      <w:r w:rsidR="00942D17">
        <w:rPr>
          <w:rFonts w:ascii="Cambria" w:eastAsia="Times New Roman" w:hAnsi="Cambria" w:cs="Calibri"/>
          <w:kern w:val="0"/>
          <w:sz w:val="26"/>
          <w:szCs w:val="26"/>
          <w:lang w:val="es-DO" w:eastAsia="es-DO"/>
          <w14:ligatures w14:val="none"/>
        </w:rPr>
        <w:t xml:space="preserve">TSE, </w:t>
      </w:r>
      <w:r>
        <w:rPr>
          <w:rFonts w:ascii="Cambria" w:eastAsia="Times New Roman" w:hAnsi="Cambria" w:cs="Calibri"/>
          <w:kern w:val="0"/>
          <w:sz w:val="26"/>
          <w:szCs w:val="26"/>
          <w:lang w:val="es-DO" w:eastAsia="es-DO"/>
          <w14:ligatures w14:val="none"/>
        </w:rPr>
        <w:t>le han dado al conflicto</w:t>
      </w:r>
      <w:r w:rsidR="00942D17">
        <w:rPr>
          <w:rFonts w:ascii="Cambria" w:eastAsia="Times New Roman" w:hAnsi="Cambria" w:cs="Calibri"/>
          <w:kern w:val="0"/>
          <w:sz w:val="26"/>
          <w:szCs w:val="26"/>
          <w:lang w:val="es-DO" w:eastAsia="es-DO"/>
          <w14:ligatures w14:val="none"/>
        </w:rPr>
        <w:t>,</w:t>
      </w:r>
      <w:r>
        <w:rPr>
          <w:rFonts w:ascii="Cambria" w:eastAsia="Times New Roman" w:hAnsi="Cambria" w:cs="Calibri"/>
          <w:kern w:val="0"/>
          <w:sz w:val="26"/>
          <w:szCs w:val="26"/>
          <w:lang w:val="es-DO" w:eastAsia="es-DO"/>
          <w14:ligatures w14:val="none"/>
        </w:rPr>
        <w:t xml:space="preserve"> dañando y afectando la credibilidad del </w:t>
      </w:r>
      <w:r w:rsidR="00942D17">
        <w:rPr>
          <w:rFonts w:ascii="Cambria" w:eastAsia="Times New Roman" w:hAnsi="Cambria" w:cs="Calibri"/>
          <w:kern w:val="0"/>
          <w:sz w:val="26"/>
          <w:szCs w:val="26"/>
          <w:lang w:val="es-DO" w:eastAsia="es-DO"/>
          <w14:ligatures w14:val="none"/>
        </w:rPr>
        <w:t>autodenominado guardián</w:t>
      </w:r>
      <w:r>
        <w:rPr>
          <w:rFonts w:ascii="Cambria" w:eastAsia="Times New Roman" w:hAnsi="Cambria" w:cs="Calibri"/>
          <w:kern w:val="0"/>
          <w:sz w:val="26"/>
          <w:szCs w:val="26"/>
          <w:lang w:val="es-DO" w:eastAsia="es-DO"/>
          <w14:ligatures w14:val="none"/>
        </w:rPr>
        <w:t xml:space="preserve"> de</w:t>
      </w:r>
      <w:r w:rsidR="00942D17">
        <w:rPr>
          <w:rFonts w:ascii="Cambria" w:eastAsia="Times New Roman" w:hAnsi="Cambria" w:cs="Calibri"/>
          <w:kern w:val="0"/>
          <w:sz w:val="26"/>
          <w:szCs w:val="26"/>
          <w:lang w:val="es-DO" w:eastAsia="es-DO"/>
          <w14:ligatures w14:val="none"/>
        </w:rPr>
        <w:t xml:space="preserve"> </w:t>
      </w:r>
      <w:r>
        <w:rPr>
          <w:rFonts w:ascii="Cambria" w:eastAsia="Times New Roman" w:hAnsi="Cambria" w:cs="Calibri"/>
          <w:kern w:val="0"/>
          <w:sz w:val="26"/>
          <w:szCs w:val="26"/>
          <w:lang w:val="es-DO" w:eastAsia="es-DO"/>
          <w14:ligatures w14:val="none"/>
        </w:rPr>
        <w:t xml:space="preserve">la democracia, con la agravante de </w:t>
      </w:r>
      <w:r w:rsidR="00942D17">
        <w:rPr>
          <w:rFonts w:ascii="Cambria" w:eastAsia="Times New Roman" w:hAnsi="Cambria" w:cs="Calibri"/>
          <w:kern w:val="0"/>
          <w:sz w:val="26"/>
          <w:szCs w:val="26"/>
          <w:lang w:val="es-DO" w:eastAsia="es-DO"/>
          <w14:ligatures w14:val="none"/>
        </w:rPr>
        <w:t xml:space="preserve">que </w:t>
      </w:r>
      <w:r>
        <w:rPr>
          <w:rFonts w:ascii="Cambria" w:eastAsia="Times New Roman" w:hAnsi="Cambria" w:cs="Calibri"/>
          <w:kern w:val="0"/>
          <w:sz w:val="26"/>
          <w:szCs w:val="26"/>
          <w:lang w:val="es-DO" w:eastAsia="es-DO"/>
          <w14:ligatures w14:val="none"/>
        </w:rPr>
        <w:t>los temas propios de su real competencia</w:t>
      </w:r>
      <w:r w:rsidR="00942D17">
        <w:rPr>
          <w:rFonts w:ascii="Cambria" w:eastAsia="Times New Roman" w:hAnsi="Cambria" w:cs="Calibri"/>
          <w:kern w:val="0"/>
          <w:sz w:val="26"/>
          <w:szCs w:val="26"/>
          <w:lang w:val="es-DO" w:eastAsia="es-DO"/>
          <w14:ligatures w14:val="none"/>
        </w:rPr>
        <w:t>,</w:t>
      </w:r>
      <w:r>
        <w:rPr>
          <w:rFonts w:ascii="Cambria" w:eastAsia="Times New Roman" w:hAnsi="Cambria" w:cs="Calibri"/>
          <w:kern w:val="0"/>
          <w:sz w:val="26"/>
          <w:szCs w:val="26"/>
          <w:lang w:val="es-DO" w:eastAsia="es-DO"/>
          <w14:ligatures w14:val="none"/>
        </w:rPr>
        <w:t xml:space="preserve"> que lo</w:t>
      </w:r>
      <w:r w:rsidR="00942D17">
        <w:rPr>
          <w:rFonts w:ascii="Cambria" w:eastAsia="Times New Roman" w:hAnsi="Cambria" w:cs="Calibri"/>
          <w:kern w:val="0"/>
          <w:sz w:val="26"/>
          <w:szCs w:val="26"/>
          <w:lang w:val="es-DO" w:eastAsia="es-DO"/>
          <w14:ligatures w14:val="none"/>
        </w:rPr>
        <w:t xml:space="preserve"> son</w:t>
      </w:r>
      <w:r>
        <w:rPr>
          <w:rFonts w:ascii="Cambria" w:eastAsia="Times New Roman" w:hAnsi="Cambria" w:cs="Calibri"/>
          <w:kern w:val="0"/>
          <w:sz w:val="26"/>
          <w:szCs w:val="26"/>
          <w:lang w:val="es-DO" w:eastAsia="es-DO"/>
          <w14:ligatures w14:val="none"/>
        </w:rPr>
        <w:t xml:space="preserve"> inequívocamente</w:t>
      </w:r>
      <w:r w:rsidR="00942D17">
        <w:rPr>
          <w:rFonts w:ascii="Cambria" w:eastAsia="Times New Roman" w:hAnsi="Cambria" w:cs="Calibri"/>
          <w:kern w:val="0"/>
          <w:sz w:val="26"/>
          <w:szCs w:val="26"/>
          <w:lang w:val="es-DO" w:eastAsia="es-DO"/>
          <w14:ligatures w14:val="none"/>
        </w:rPr>
        <w:t>, en</w:t>
      </w:r>
      <w:r>
        <w:rPr>
          <w:rFonts w:ascii="Cambria" w:eastAsia="Times New Roman" w:hAnsi="Cambria" w:cs="Calibri"/>
          <w:kern w:val="0"/>
          <w:sz w:val="26"/>
          <w:szCs w:val="26"/>
          <w:lang w:val="es-DO" w:eastAsia="es-DO"/>
          <w14:ligatures w14:val="none"/>
        </w:rPr>
        <w:t xml:space="preserve"> el </w:t>
      </w:r>
      <w:r w:rsidR="00942D17">
        <w:rPr>
          <w:rFonts w:ascii="Cambria" w:eastAsia="Times New Roman" w:hAnsi="Cambria" w:cs="Calibri"/>
          <w:kern w:val="0"/>
          <w:sz w:val="26"/>
          <w:szCs w:val="26"/>
          <w:lang w:val="es-DO" w:eastAsia="es-DO"/>
          <w14:ligatures w14:val="none"/>
        </w:rPr>
        <w:t>plano</w:t>
      </w:r>
      <w:r>
        <w:rPr>
          <w:rFonts w:ascii="Cambria" w:eastAsia="Times New Roman" w:hAnsi="Cambria" w:cs="Calibri"/>
          <w:kern w:val="0"/>
          <w:sz w:val="26"/>
          <w:szCs w:val="26"/>
          <w:lang w:val="es-DO" w:eastAsia="es-DO"/>
          <w14:ligatures w14:val="none"/>
        </w:rPr>
        <w:t xml:space="preserve"> de las elecciones a cargos públicos de elección popular, </w:t>
      </w:r>
      <w:r w:rsidR="00942D17">
        <w:rPr>
          <w:rFonts w:ascii="Cambria" w:eastAsia="Times New Roman" w:hAnsi="Cambria" w:cs="Calibri"/>
          <w:kern w:val="0"/>
          <w:sz w:val="26"/>
          <w:szCs w:val="26"/>
          <w:lang w:val="es-DO" w:eastAsia="es-DO"/>
          <w14:ligatures w14:val="none"/>
        </w:rPr>
        <w:t xml:space="preserve">incluyendo los problemas y diferencias que se den a lo interno o entre los partidos, agrupaciones y movimientos políticos,  </w:t>
      </w:r>
      <w:r>
        <w:rPr>
          <w:rFonts w:ascii="Cambria" w:eastAsia="Times New Roman" w:hAnsi="Cambria" w:cs="Calibri"/>
          <w:kern w:val="0"/>
          <w:sz w:val="26"/>
          <w:szCs w:val="26"/>
          <w:lang w:val="es-DO" w:eastAsia="es-DO"/>
          <w14:ligatures w14:val="none"/>
        </w:rPr>
        <w:t xml:space="preserve">además de </w:t>
      </w:r>
      <w:r w:rsidR="00942D17">
        <w:rPr>
          <w:rFonts w:ascii="Cambria" w:eastAsia="Times New Roman" w:hAnsi="Cambria" w:cs="Calibri"/>
          <w:kern w:val="0"/>
          <w:sz w:val="26"/>
          <w:szCs w:val="26"/>
          <w:lang w:val="es-DO" w:eastAsia="es-DO"/>
          <w14:ligatures w14:val="none"/>
        </w:rPr>
        <w:t>los</w:t>
      </w:r>
      <w:r>
        <w:rPr>
          <w:rFonts w:ascii="Cambria" w:eastAsia="Times New Roman" w:hAnsi="Cambria" w:cs="Calibri"/>
          <w:kern w:val="0"/>
          <w:sz w:val="26"/>
          <w:szCs w:val="26"/>
          <w:lang w:val="es-DO" w:eastAsia="es-DO"/>
          <w14:ligatures w14:val="none"/>
        </w:rPr>
        <w:t xml:space="preserve"> referendos y plebiscitos en el marco de la </w:t>
      </w:r>
      <w:r w:rsidR="00942D17">
        <w:rPr>
          <w:rFonts w:ascii="Cambria" w:eastAsia="Times New Roman" w:hAnsi="Cambria" w:cs="Calibri"/>
          <w:kern w:val="0"/>
          <w:sz w:val="26"/>
          <w:szCs w:val="26"/>
          <w:lang w:val="es-DO" w:eastAsia="es-DO"/>
          <w14:ligatures w14:val="none"/>
        </w:rPr>
        <w:t>constitución</w:t>
      </w:r>
      <w:r>
        <w:rPr>
          <w:rFonts w:ascii="Cambria" w:eastAsia="Times New Roman" w:hAnsi="Cambria" w:cs="Calibri"/>
          <w:kern w:val="0"/>
          <w:sz w:val="26"/>
          <w:szCs w:val="26"/>
          <w:lang w:val="es-DO" w:eastAsia="es-DO"/>
          <w14:ligatures w14:val="none"/>
        </w:rPr>
        <w:t xml:space="preserve">, </w:t>
      </w:r>
      <w:r w:rsidR="00942D17">
        <w:rPr>
          <w:rFonts w:ascii="Cambria" w:eastAsia="Times New Roman" w:hAnsi="Cambria" w:cs="Calibri"/>
          <w:kern w:val="0"/>
          <w:sz w:val="26"/>
          <w:szCs w:val="26"/>
          <w:lang w:val="es-DO" w:eastAsia="es-DO"/>
          <w14:ligatures w14:val="none"/>
        </w:rPr>
        <w:t>se ven contaminados por temas ajenos al artículo 214 de la constitución</w:t>
      </w:r>
      <w:r w:rsidR="00FA21D8">
        <w:rPr>
          <w:rFonts w:ascii="Cambria" w:eastAsia="Times New Roman" w:hAnsi="Cambria" w:cs="Calibri"/>
          <w:kern w:val="0"/>
          <w:sz w:val="26"/>
          <w:szCs w:val="26"/>
          <w:lang w:val="es-DO" w:eastAsia="es-DO"/>
          <w14:ligatures w14:val="none"/>
        </w:rPr>
        <w:t>, como lo serían las asociaciones profesionales, gremios y otros.</w:t>
      </w:r>
    </w:p>
    <w:p w14:paraId="6211B0C4" w14:textId="77777777" w:rsidR="00942D17" w:rsidRDefault="00942D17" w:rsidP="00661176">
      <w:pPr>
        <w:spacing w:after="0" w:line="240" w:lineRule="atLeast"/>
        <w:jc w:val="both"/>
        <w:rPr>
          <w:rFonts w:ascii="Cambria" w:eastAsia="Times New Roman" w:hAnsi="Cambria" w:cs="Calibri"/>
          <w:kern w:val="0"/>
          <w:sz w:val="26"/>
          <w:szCs w:val="26"/>
          <w:lang w:val="es-DO" w:eastAsia="es-DO"/>
          <w14:ligatures w14:val="none"/>
        </w:rPr>
      </w:pPr>
    </w:p>
    <w:p w14:paraId="74952485" w14:textId="2A49F486" w:rsidR="00942D17" w:rsidRDefault="00942D17" w:rsidP="00661176">
      <w:pPr>
        <w:spacing w:after="0" w:line="240" w:lineRule="atLeast"/>
        <w:jc w:val="both"/>
        <w:rPr>
          <w:rFonts w:ascii="Cambria" w:eastAsia="Times New Roman" w:hAnsi="Cambria" w:cs="Calibri"/>
          <w:kern w:val="0"/>
          <w:sz w:val="26"/>
          <w:szCs w:val="26"/>
          <w:lang w:val="es-DO" w:eastAsia="es-DO"/>
          <w14:ligatures w14:val="none"/>
        </w:rPr>
      </w:pPr>
      <w:r>
        <w:rPr>
          <w:rFonts w:ascii="Cambria" w:eastAsia="Times New Roman" w:hAnsi="Cambria" w:cs="Calibri"/>
          <w:kern w:val="0"/>
          <w:sz w:val="26"/>
          <w:szCs w:val="26"/>
          <w:lang w:val="es-DO" w:eastAsia="es-DO"/>
          <w14:ligatures w14:val="none"/>
        </w:rPr>
        <w:t>En esa virtud y dado todos los vicios y violaciones al debido proceso</w:t>
      </w:r>
      <w:r w:rsidR="00CD1DE6">
        <w:rPr>
          <w:rFonts w:ascii="Cambria" w:eastAsia="Times New Roman" w:hAnsi="Cambria" w:cs="Calibri"/>
          <w:kern w:val="0"/>
          <w:sz w:val="26"/>
          <w:szCs w:val="26"/>
          <w:lang w:val="es-DO" w:eastAsia="es-DO"/>
          <w14:ligatures w14:val="none"/>
        </w:rPr>
        <w:t xml:space="preserve"> de ley, ajenos totalmente al derecho y la razón, hemos comprendido, por la irracional e </w:t>
      </w:r>
      <w:r w:rsidR="00FA21D8">
        <w:rPr>
          <w:rFonts w:ascii="Cambria" w:eastAsia="Times New Roman" w:hAnsi="Cambria" w:cs="Calibri"/>
          <w:kern w:val="0"/>
          <w:sz w:val="26"/>
          <w:szCs w:val="26"/>
          <w:lang w:val="es-DO" w:eastAsia="es-DO"/>
          <w14:ligatures w14:val="none"/>
        </w:rPr>
        <w:t>ilegítima</w:t>
      </w:r>
      <w:r w:rsidR="00CD1DE6">
        <w:rPr>
          <w:rFonts w:ascii="Cambria" w:eastAsia="Times New Roman" w:hAnsi="Cambria" w:cs="Calibri"/>
          <w:kern w:val="0"/>
          <w:sz w:val="26"/>
          <w:szCs w:val="26"/>
          <w:lang w:val="es-DO" w:eastAsia="es-DO"/>
          <w14:ligatures w14:val="none"/>
        </w:rPr>
        <w:t xml:space="preserve"> decisión del </w:t>
      </w:r>
      <w:r w:rsidR="00FA21D8">
        <w:rPr>
          <w:rFonts w:ascii="Cambria" w:eastAsia="Times New Roman" w:hAnsi="Cambria" w:cs="Calibri"/>
          <w:kern w:val="0"/>
          <w:sz w:val="26"/>
          <w:szCs w:val="26"/>
          <w:lang w:val="es-DO" w:eastAsia="es-DO"/>
          <w14:ligatures w14:val="none"/>
        </w:rPr>
        <w:t>TSE</w:t>
      </w:r>
      <w:r w:rsidR="00CD1DE6">
        <w:rPr>
          <w:rFonts w:ascii="Cambria" w:eastAsia="Times New Roman" w:hAnsi="Cambria" w:cs="Calibri"/>
          <w:kern w:val="0"/>
          <w:sz w:val="26"/>
          <w:szCs w:val="26"/>
          <w:lang w:val="es-DO" w:eastAsia="es-DO"/>
          <w14:ligatures w14:val="none"/>
        </w:rPr>
        <w:t>, el que esto ya no es un tema jurídico, en consecuencia, procedimos a reunirnos con los partidos de oposición</w:t>
      </w:r>
      <w:r w:rsidR="00FA21D8">
        <w:rPr>
          <w:rFonts w:ascii="Cambria" w:eastAsia="Times New Roman" w:hAnsi="Cambria" w:cs="Calibri"/>
          <w:kern w:val="0"/>
          <w:sz w:val="26"/>
          <w:szCs w:val="26"/>
          <w:lang w:val="es-DO" w:eastAsia="es-DO"/>
          <w14:ligatures w14:val="none"/>
        </w:rPr>
        <w:t>,</w:t>
      </w:r>
      <w:r w:rsidR="00CD1DE6">
        <w:rPr>
          <w:rFonts w:ascii="Cambria" w:eastAsia="Times New Roman" w:hAnsi="Cambria" w:cs="Calibri"/>
          <w:kern w:val="0"/>
          <w:sz w:val="26"/>
          <w:szCs w:val="26"/>
          <w:lang w:val="es-DO" w:eastAsia="es-DO"/>
          <w14:ligatures w14:val="none"/>
        </w:rPr>
        <w:t xml:space="preserve"> que nos apoyaron, en el interés </w:t>
      </w:r>
      <w:r w:rsidR="00FA21D8">
        <w:rPr>
          <w:rFonts w:ascii="Cambria" w:eastAsia="Times New Roman" w:hAnsi="Cambria" w:cs="Calibri"/>
          <w:kern w:val="0"/>
          <w:sz w:val="26"/>
          <w:szCs w:val="26"/>
          <w:lang w:val="es-DO" w:eastAsia="es-DO"/>
          <w14:ligatures w14:val="none"/>
        </w:rPr>
        <w:t xml:space="preserve">de </w:t>
      </w:r>
      <w:r w:rsidR="00CD1DE6">
        <w:rPr>
          <w:rFonts w:ascii="Cambria" w:eastAsia="Times New Roman" w:hAnsi="Cambria" w:cs="Calibri"/>
          <w:kern w:val="0"/>
          <w:sz w:val="26"/>
          <w:szCs w:val="26"/>
          <w:lang w:val="es-DO" w:eastAsia="es-DO"/>
          <w14:ligatures w14:val="none"/>
        </w:rPr>
        <w:t>que ellos asum</w:t>
      </w:r>
      <w:r w:rsidR="00FA21D8">
        <w:rPr>
          <w:rFonts w:ascii="Cambria" w:eastAsia="Times New Roman" w:hAnsi="Cambria" w:cs="Calibri"/>
          <w:kern w:val="0"/>
          <w:sz w:val="26"/>
          <w:szCs w:val="26"/>
          <w:lang w:val="es-DO" w:eastAsia="es-DO"/>
          <w14:ligatures w14:val="none"/>
        </w:rPr>
        <w:t>a</w:t>
      </w:r>
      <w:r w:rsidR="00CD1DE6">
        <w:rPr>
          <w:rFonts w:ascii="Cambria" w:eastAsia="Times New Roman" w:hAnsi="Cambria" w:cs="Calibri"/>
          <w:kern w:val="0"/>
          <w:sz w:val="26"/>
          <w:szCs w:val="26"/>
          <w:lang w:val="es-DO" w:eastAsia="es-DO"/>
          <w14:ligatures w14:val="none"/>
        </w:rPr>
        <w:t>n en el plano político, el litigio</w:t>
      </w:r>
      <w:r w:rsidR="00FA21D8">
        <w:rPr>
          <w:rFonts w:ascii="Cambria" w:eastAsia="Times New Roman" w:hAnsi="Cambria" w:cs="Calibri"/>
          <w:kern w:val="0"/>
          <w:sz w:val="26"/>
          <w:szCs w:val="26"/>
          <w:lang w:val="es-DO" w:eastAsia="es-DO"/>
          <w14:ligatures w14:val="none"/>
        </w:rPr>
        <w:t>,</w:t>
      </w:r>
      <w:r w:rsidR="00CD1DE6">
        <w:rPr>
          <w:rFonts w:ascii="Cambria" w:eastAsia="Times New Roman" w:hAnsi="Cambria" w:cs="Calibri"/>
          <w:kern w:val="0"/>
          <w:sz w:val="26"/>
          <w:szCs w:val="26"/>
          <w:lang w:val="es-DO" w:eastAsia="es-DO"/>
          <w14:ligatures w14:val="none"/>
        </w:rPr>
        <w:t xml:space="preserve"> puesto que ya se sale de nuestro alcance o accionar.</w:t>
      </w:r>
      <w:r>
        <w:rPr>
          <w:rFonts w:ascii="Cambria" w:eastAsia="Times New Roman" w:hAnsi="Cambria" w:cs="Calibri"/>
          <w:kern w:val="0"/>
          <w:sz w:val="26"/>
          <w:szCs w:val="26"/>
          <w:lang w:val="es-DO" w:eastAsia="es-DO"/>
          <w14:ligatures w14:val="none"/>
        </w:rPr>
        <w:t xml:space="preserve"> </w:t>
      </w:r>
    </w:p>
    <w:p w14:paraId="179F4E42" w14:textId="77777777" w:rsidR="00942D17" w:rsidRDefault="00942D17" w:rsidP="00661176">
      <w:pPr>
        <w:spacing w:after="0" w:line="240" w:lineRule="atLeast"/>
        <w:jc w:val="both"/>
        <w:rPr>
          <w:rFonts w:ascii="Cambria" w:eastAsia="Times New Roman" w:hAnsi="Cambria" w:cs="Calibri"/>
          <w:kern w:val="0"/>
          <w:sz w:val="26"/>
          <w:szCs w:val="26"/>
          <w:lang w:val="es-DO" w:eastAsia="es-DO"/>
          <w14:ligatures w14:val="none"/>
        </w:rPr>
      </w:pPr>
    </w:p>
    <w:p w14:paraId="4E085D1C" w14:textId="3694172E" w:rsidR="00FA21D8" w:rsidRPr="00FA21D8" w:rsidRDefault="00CD1DE6" w:rsidP="00661176">
      <w:pPr>
        <w:spacing w:after="0" w:line="240" w:lineRule="atLeast"/>
        <w:jc w:val="both"/>
        <w:rPr>
          <w:rFonts w:ascii="Cambria" w:eastAsia="Times New Roman" w:hAnsi="Cambria" w:cs="Calibri"/>
          <w:bCs/>
          <w:kern w:val="0"/>
          <w:sz w:val="26"/>
          <w:szCs w:val="26"/>
          <w:lang w:val="es-DO" w:eastAsia="es-DO"/>
          <w14:ligatures w14:val="none"/>
        </w:rPr>
      </w:pPr>
      <w:r w:rsidRPr="00FA21D8">
        <w:rPr>
          <w:rFonts w:ascii="Cambria" w:eastAsia="Times New Roman" w:hAnsi="Cambria" w:cs="Calibri"/>
          <w:bCs/>
          <w:kern w:val="0"/>
          <w:sz w:val="26"/>
          <w:szCs w:val="26"/>
          <w:lang w:val="es-DO" w:eastAsia="es-DO"/>
          <w14:ligatures w14:val="none"/>
        </w:rPr>
        <w:t xml:space="preserve">Finalmente continuamos haciendo votos </w:t>
      </w:r>
      <w:r w:rsidR="008C1F4B">
        <w:rPr>
          <w:rFonts w:ascii="Cambria" w:eastAsia="Times New Roman" w:hAnsi="Cambria" w:cs="Calibri"/>
          <w:bCs/>
          <w:kern w:val="0"/>
          <w:sz w:val="26"/>
          <w:szCs w:val="26"/>
          <w:lang w:val="es-DO" w:eastAsia="es-DO"/>
          <w14:ligatures w14:val="none"/>
        </w:rPr>
        <w:t>para</w:t>
      </w:r>
      <w:r w:rsidRPr="00FA21D8">
        <w:rPr>
          <w:rFonts w:ascii="Cambria" w:eastAsia="Times New Roman" w:hAnsi="Cambria" w:cs="Calibri"/>
          <w:bCs/>
          <w:kern w:val="0"/>
          <w:sz w:val="26"/>
          <w:szCs w:val="26"/>
          <w:lang w:val="es-DO" w:eastAsia="es-DO"/>
          <w14:ligatures w14:val="none"/>
        </w:rPr>
        <w:t xml:space="preserve"> que reine la paz, </w:t>
      </w:r>
      <w:r w:rsidR="00F41550">
        <w:rPr>
          <w:rFonts w:ascii="Cambria" w:eastAsia="Times New Roman" w:hAnsi="Cambria" w:cs="Calibri"/>
          <w:bCs/>
          <w:kern w:val="0"/>
          <w:sz w:val="26"/>
          <w:szCs w:val="26"/>
          <w:lang w:val="es-DO" w:eastAsia="es-DO"/>
          <w14:ligatures w14:val="none"/>
        </w:rPr>
        <w:t>pidiéndoles</w:t>
      </w:r>
      <w:r w:rsidR="00FA21D8">
        <w:rPr>
          <w:rFonts w:ascii="Cambria" w:eastAsia="Times New Roman" w:hAnsi="Cambria" w:cs="Calibri"/>
          <w:bCs/>
          <w:kern w:val="0"/>
          <w:sz w:val="26"/>
          <w:szCs w:val="26"/>
          <w:lang w:val="es-DO" w:eastAsia="es-DO"/>
          <w14:ligatures w14:val="none"/>
        </w:rPr>
        <w:t xml:space="preserve"> a la clase política</w:t>
      </w:r>
      <w:r w:rsidR="00F41550">
        <w:rPr>
          <w:rFonts w:ascii="Cambria" w:eastAsia="Times New Roman" w:hAnsi="Cambria" w:cs="Calibri"/>
          <w:bCs/>
          <w:kern w:val="0"/>
          <w:sz w:val="26"/>
          <w:szCs w:val="26"/>
          <w:lang w:val="es-DO" w:eastAsia="es-DO"/>
          <w14:ligatures w14:val="none"/>
        </w:rPr>
        <w:t>,</w:t>
      </w:r>
      <w:r w:rsidR="00FA21D8">
        <w:rPr>
          <w:rFonts w:ascii="Cambria" w:eastAsia="Times New Roman" w:hAnsi="Cambria" w:cs="Calibri"/>
          <w:bCs/>
          <w:kern w:val="0"/>
          <w:sz w:val="26"/>
          <w:szCs w:val="26"/>
          <w:lang w:val="es-DO" w:eastAsia="es-DO"/>
          <w14:ligatures w14:val="none"/>
        </w:rPr>
        <w:t xml:space="preserve"> el </w:t>
      </w:r>
      <w:r w:rsidRPr="00FA21D8">
        <w:rPr>
          <w:rFonts w:ascii="Cambria" w:eastAsia="Times New Roman" w:hAnsi="Cambria" w:cs="Calibri"/>
          <w:bCs/>
          <w:kern w:val="0"/>
          <w:sz w:val="26"/>
          <w:szCs w:val="26"/>
          <w:lang w:val="es-DO" w:eastAsia="es-DO"/>
          <w14:ligatures w14:val="none"/>
        </w:rPr>
        <w:t>reflexiona</w:t>
      </w:r>
      <w:r w:rsidR="00FA21D8">
        <w:rPr>
          <w:rFonts w:ascii="Cambria" w:eastAsia="Times New Roman" w:hAnsi="Cambria" w:cs="Calibri"/>
          <w:bCs/>
          <w:kern w:val="0"/>
          <w:sz w:val="26"/>
          <w:szCs w:val="26"/>
          <w:lang w:val="es-DO" w:eastAsia="es-DO"/>
          <w14:ligatures w14:val="none"/>
        </w:rPr>
        <w:t>r</w:t>
      </w:r>
      <w:r w:rsidRPr="00FA21D8">
        <w:rPr>
          <w:rFonts w:ascii="Cambria" w:eastAsia="Times New Roman" w:hAnsi="Cambria" w:cs="Calibri"/>
          <w:bCs/>
          <w:kern w:val="0"/>
          <w:sz w:val="26"/>
          <w:szCs w:val="26"/>
          <w:lang w:val="es-DO" w:eastAsia="es-DO"/>
          <w14:ligatures w14:val="none"/>
        </w:rPr>
        <w:t xml:space="preserve"> sobre la necesidad de preservar </w:t>
      </w:r>
      <w:r w:rsidR="00FA21D8" w:rsidRPr="00FA21D8">
        <w:rPr>
          <w:rFonts w:ascii="Cambria" w:eastAsia="Times New Roman" w:hAnsi="Cambria" w:cs="Calibri"/>
          <w:bCs/>
          <w:kern w:val="0"/>
          <w:sz w:val="26"/>
          <w:szCs w:val="26"/>
          <w:lang w:val="es-DO" w:eastAsia="es-DO"/>
          <w14:ligatures w14:val="none"/>
        </w:rPr>
        <w:t xml:space="preserve">y </w:t>
      </w:r>
      <w:r w:rsidRPr="00FA21D8">
        <w:rPr>
          <w:rFonts w:ascii="Cambria" w:eastAsia="Times New Roman" w:hAnsi="Cambria" w:cs="Calibri"/>
          <w:bCs/>
          <w:kern w:val="0"/>
          <w:sz w:val="26"/>
          <w:szCs w:val="26"/>
          <w:lang w:val="es-DO" w:eastAsia="es-DO"/>
          <w14:ligatures w14:val="none"/>
        </w:rPr>
        <w:t xml:space="preserve">unificar el gremio de los abogados, sobre todo </w:t>
      </w:r>
      <w:r w:rsidR="00FA21D8" w:rsidRPr="00FA21D8">
        <w:rPr>
          <w:rFonts w:ascii="Cambria" w:eastAsia="Times New Roman" w:hAnsi="Cambria" w:cs="Calibri"/>
          <w:bCs/>
          <w:kern w:val="0"/>
          <w:sz w:val="26"/>
          <w:szCs w:val="26"/>
          <w:lang w:val="es-DO" w:eastAsia="es-DO"/>
          <w14:ligatures w14:val="none"/>
        </w:rPr>
        <w:t>rescatando su esencia</w:t>
      </w:r>
      <w:r w:rsidR="00F41550">
        <w:rPr>
          <w:rFonts w:ascii="Cambria" w:eastAsia="Times New Roman" w:hAnsi="Cambria" w:cs="Calibri"/>
          <w:bCs/>
          <w:kern w:val="0"/>
          <w:sz w:val="26"/>
          <w:szCs w:val="26"/>
          <w:lang w:val="es-DO" w:eastAsia="es-DO"/>
          <w14:ligatures w14:val="none"/>
        </w:rPr>
        <w:t>,</w:t>
      </w:r>
      <w:r w:rsidR="00FA21D8" w:rsidRPr="00FA21D8">
        <w:rPr>
          <w:rFonts w:ascii="Cambria" w:eastAsia="Times New Roman" w:hAnsi="Cambria" w:cs="Calibri"/>
          <w:bCs/>
          <w:kern w:val="0"/>
          <w:sz w:val="26"/>
          <w:szCs w:val="26"/>
          <w:lang w:val="es-DO" w:eastAsia="es-DO"/>
          <w14:ligatures w14:val="none"/>
        </w:rPr>
        <w:t xml:space="preserve"> al servicio de todos los abogados</w:t>
      </w:r>
      <w:r w:rsidR="00FA21D8">
        <w:rPr>
          <w:rFonts w:ascii="Cambria" w:eastAsia="Times New Roman" w:hAnsi="Cambria" w:cs="Calibri"/>
          <w:bCs/>
          <w:kern w:val="0"/>
          <w:sz w:val="26"/>
          <w:szCs w:val="26"/>
          <w:lang w:val="es-DO" w:eastAsia="es-DO"/>
          <w14:ligatures w14:val="none"/>
        </w:rPr>
        <w:t>,</w:t>
      </w:r>
      <w:r w:rsidR="00FA21D8" w:rsidRPr="00FA21D8">
        <w:rPr>
          <w:rFonts w:ascii="Cambria" w:eastAsia="Times New Roman" w:hAnsi="Cambria" w:cs="Calibri"/>
          <w:bCs/>
          <w:kern w:val="0"/>
          <w:sz w:val="26"/>
          <w:szCs w:val="26"/>
          <w:lang w:val="es-DO" w:eastAsia="es-DO"/>
          <w14:ligatures w14:val="none"/>
        </w:rPr>
        <w:t xml:space="preserve"> sin distinción de partidos políticos.</w:t>
      </w:r>
    </w:p>
    <w:p w14:paraId="376B2D4F" w14:textId="77777777" w:rsidR="00FA21D8" w:rsidRDefault="00FA21D8" w:rsidP="00661176">
      <w:pPr>
        <w:spacing w:after="0" w:line="240" w:lineRule="atLeast"/>
        <w:jc w:val="both"/>
        <w:rPr>
          <w:rFonts w:ascii="Cambria" w:eastAsia="Times New Roman" w:hAnsi="Cambria" w:cs="Calibri"/>
          <w:b/>
          <w:bCs/>
          <w:kern w:val="0"/>
          <w:sz w:val="26"/>
          <w:szCs w:val="26"/>
          <w:lang w:val="es-DO" w:eastAsia="es-DO"/>
          <w14:ligatures w14:val="none"/>
        </w:rPr>
      </w:pPr>
    </w:p>
    <w:p w14:paraId="2A3B06DD" w14:textId="77777777" w:rsidR="000247BF" w:rsidRDefault="000247BF" w:rsidP="00FA21D8">
      <w:pPr>
        <w:spacing w:after="0" w:line="240" w:lineRule="atLeast"/>
        <w:jc w:val="center"/>
        <w:rPr>
          <w:rFonts w:ascii="Cambria" w:eastAsia="Times New Roman" w:hAnsi="Cambria" w:cs="Calibri"/>
          <w:b/>
          <w:bCs/>
          <w:kern w:val="0"/>
          <w:sz w:val="26"/>
          <w:szCs w:val="26"/>
          <w:lang w:val="es-DO" w:eastAsia="es-DO"/>
          <w14:ligatures w14:val="none"/>
        </w:rPr>
      </w:pPr>
    </w:p>
    <w:p w14:paraId="41FDC143" w14:textId="35CD90DC" w:rsidR="00F1261D" w:rsidRPr="00F1261D" w:rsidRDefault="00FA21D8" w:rsidP="00FA21D8">
      <w:pPr>
        <w:spacing w:after="0" w:line="240" w:lineRule="atLeast"/>
        <w:jc w:val="center"/>
        <w:rPr>
          <w:rFonts w:ascii="Cambria" w:eastAsia="Times New Roman" w:hAnsi="Cambria" w:cs="Calibri"/>
          <w:kern w:val="0"/>
          <w:sz w:val="26"/>
          <w:szCs w:val="26"/>
          <w:lang w:val="es-DO" w:eastAsia="es-DO"/>
          <w14:ligatures w14:val="none"/>
        </w:rPr>
      </w:pPr>
      <w:r>
        <w:rPr>
          <w:rFonts w:ascii="Cambria" w:eastAsia="Times New Roman" w:hAnsi="Cambria" w:cs="Calibri"/>
          <w:b/>
          <w:bCs/>
          <w:kern w:val="0"/>
          <w:sz w:val="26"/>
          <w:szCs w:val="26"/>
          <w:lang w:val="es-DO" w:eastAsia="es-DO"/>
          <w14:ligatures w14:val="none"/>
        </w:rPr>
        <w:t>Dirección de comunicaciones</w:t>
      </w:r>
    </w:p>
    <w:p w14:paraId="3622B4A4" w14:textId="47759489" w:rsidR="004014BB" w:rsidRPr="00661176" w:rsidRDefault="004014BB" w:rsidP="00FA21D8">
      <w:pPr>
        <w:spacing w:after="0" w:line="240" w:lineRule="atLeast"/>
        <w:jc w:val="center"/>
        <w:rPr>
          <w:rFonts w:ascii="Cambria" w:hAnsi="Cambria"/>
          <w:sz w:val="26"/>
          <w:szCs w:val="26"/>
        </w:rPr>
      </w:pPr>
    </w:p>
    <w:sectPr w:rsidR="004014BB" w:rsidRPr="00661176">
      <w:foot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2E59D6" w14:textId="77777777" w:rsidR="00603875" w:rsidRDefault="00603875" w:rsidP="009E7001">
      <w:pPr>
        <w:spacing w:after="0" w:line="240" w:lineRule="auto"/>
      </w:pPr>
      <w:r>
        <w:separator/>
      </w:r>
    </w:p>
  </w:endnote>
  <w:endnote w:type="continuationSeparator" w:id="0">
    <w:p w14:paraId="25AC1A1B" w14:textId="77777777" w:rsidR="00603875" w:rsidRDefault="00603875" w:rsidP="009E70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34549"/>
      <w:docPartObj>
        <w:docPartGallery w:val="Page Numbers (Bottom of Page)"/>
        <w:docPartUnique/>
      </w:docPartObj>
    </w:sdtPr>
    <w:sdtContent>
      <w:sdt>
        <w:sdtPr>
          <w:id w:val="-1769616900"/>
          <w:docPartObj>
            <w:docPartGallery w:val="Page Numbers (Top of Page)"/>
            <w:docPartUnique/>
          </w:docPartObj>
        </w:sdtPr>
        <w:sdtContent>
          <w:p w14:paraId="7F378D50" w14:textId="65B3B2F0" w:rsidR="00942D17" w:rsidRDefault="00942D17">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06D2B">
              <w:rPr>
                <w:b/>
                <w:bCs/>
                <w:noProof/>
              </w:rPr>
              <w:t>3</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06D2B">
              <w:rPr>
                <w:b/>
                <w:bCs/>
                <w:noProof/>
              </w:rPr>
              <w:t>3</w:t>
            </w:r>
            <w:r>
              <w:rPr>
                <w:b/>
                <w:bCs/>
                <w:sz w:val="24"/>
                <w:szCs w:val="24"/>
              </w:rPr>
              <w:fldChar w:fldCharType="end"/>
            </w:r>
          </w:p>
        </w:sdtContent>
      </w:sdt>
    </w:sdtContent>
  </w:sdt>
  <w:p w14:paraId="6D5A1028" w14:textId="77777777" w:rsidR="009E7001" w:rsidRDefault="009E700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B96324" w14:textId="77777777" w:rsidR="00603875" w:rsidRDefault="00603875" w:rsidP="009E7001">
      <w:pPr>
        <w:spacing w:after="0" w:line="240" w:lineRule="auto"/>
      </w:pPr>
      <w:r>
        <w:separator/>
      </w:r>
    </w:p>
  </w:footnote>
  <w:footnote w:type="continuationSeparator" w:id="0">
    <w:p w14:paraId="36998D5A" w14:textId="77777777" w:rsidR="00603875" w:rsidRDefault="00603875" w:rsidP="009E700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0C6E"/>
    <w:rsid w:val="000247BF"/>
    <w:rsid w:val="00062D7E"/>
    <w:rsid w:val="000B0089"/>
    <w:rsid w:val="00241F92"/>
    <w:rsid w:val="00330DB2"/>
    <w:rsid w:val="004014BB"/>
    <w:rsid w:val="005F0CB8"/>
    <w:rsid w:val="00603875"/>
    <w:rsid w:val="006459E2"/>
    <w:rsid w:val="00647439"/>
    <w:rsid w:val="00661176"/>
    <w:rsid w:val="006E0C6E"/>
    <w:rsid w:val="007368BD"/>
    <w:rsid w:val="00765E84"/>
    <w:rsid w:val="00785AAC"/>
    <w:rsid w:val="007C01E5"/>
    <w:rsid w:val="008162AB"/>
    <w:rsid w:val="008A2DDD"/>
    <w:rsid w:val="008C1F4B"/>
    <w:rsid w:val="00942D17"/>
    <w:rsid w:val="009A4E67"/>
    <w:rsid w:val="009E7001"/>
    <w:rsid w:val="00A06D2B"/>
    <w:rsid w:val="00A3616B"/>
    <w:rsid w:val="00B720EE"/>
    <w:rsid w:val="00BD15D3"/>
    <w:rsid w:val="00C06F8D"/>
    <w:rsid w:val="00C30DFE"/>
    <w:rsid w:val="00CB3FC9"/>
    <w:rsid w:val="00CD1DE6"/>
    <w:rsid w:val="00DF5E17"/>
    <w:rsid w:val="00E00E18"/>
    <w:rsid w:val="00E15680"/>
    <w:rsid w:val="00EC2C19"/>
    <w:rsid w:val="00F1261D"/>
    <w:rsid w:val="00F1334F"/>
    <w:rsid w:val="00F41550"/>
    <w:rsid w:val="00F462AB"/>
    <w:rsid w:val="00FA21D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1F70F1"/>
  <w15:chartTrackingRefBased/>
  <w15:docId w15:val="{4170253C-D38A-4F6A-BC35-30691639C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E7001"/>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E7001"/>
    <w:rPr>
      <w:lang w:val="es-ES_tradnl"/>
    </w:rPr>
  </w:style>
  <w:style w:type="paragraph" w:styleId="Piedepgina">
    <w:name w:val="footer"/>
    <w:basedOn w:val="Normal"/>
    <w:link w:val="PiedepginaCar"/>
    <w:uiPriority w:val="99"/>
    <w:unhideWhenUsed/>
    <w:rsid w:val="009E7001"/>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E7001"/>
    <w:rPr>
      <w:lang w:val="es-ES_tradnl"/>
    </w:rPr>
  </w:style>
  <w:style w:type="paragraph" w:customStyle="1" w:styleId="Cuerpo">
    <w:name w:val="Cuerpo"/>
    <w:rsid w:val="00DF5E17"/>
    <w:pPr>
      <w:pBdr>
        <w:top w:val="nil"/>
        <w:left w:val="nil"/>
        <w:bottom w:val="nil"/>
        <w:right w:val="nil"/>
        <w:between w:val="nil"/>
        <w:bar w:val="nil"/>
      </w:pBdr>
      <w:spacing w:after="0" w:line="240" w:lineRule="auto"/>
    </w:pPr>
    <w:rPr>
      <w:rFonts w:ascii="Arial" w:eastAsia="Arial Unicode MS" w:hAnsi="Arial" w:cs="Arial Unicode MS"/>
      <w:color w:val="000000"/>
      <w:kern w:val="0"/>
      <w:sz w:val="24"/>
      <w:szCs w:val="24"/>
      <w:u w:color="000000"/>
      <w:bdr w:val="nil"/>
      <w:lang w:val="es-ES" w:eastAsia="es-ES"/>
      <w14:textOutline w14:w="0" w14:cap="flat" w14:cmpd="sng" w14:algn="ctr">
        <w14:noFill/>
        <w14:prstDash w14:val="solid"/>
        <w14:bevel/>
      </w14:textOutline>
      <w14:ligatures w14:val="none"/>
    </w:rPr>
  </w:style>
  <w:style w:type="character" w:customStyle="1" w:styleId="Ninguno">
    <w:name w:val="Ninguno"/>
    <w:rsid w:val="00DF5E17"/>
  </w:style>
  <w:style w:type="character" w:styleId="Refdecomentario">
    <w:name w:val="annotation reference"/>
    <w:basedOn w:val="Fuentedeprrafopredeter"/>
    <w:uiPriority w:val="99"/>
    <w:semiHidden/>
    <w:unhideWhenUsed/>
    <w:rsid w:val="007C01E5"/>
    <w:rPr>
      <w:sz w:val="16"/>
      <w:szCs w:val="16"/>
    </w:rPr>
  </w:style>
  <w:style w:type="paragraph" w:styleId="Textocomentario">
    <w:name w:val="annotation text"/>
    <w:basedOn w:val="Normal"/>
    <w:link w:val="TextocomentarioCar"/>
    <w:uiPriority w:val="99"/>
    <w:semiHidden/>
    <w:unhideWhenUsed/>
    <w:rsid w:val="007C01E5"/>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C01E5"/>
    <w:rPr>
      <w:sz w:val="20"/>
      <w:szCs w:val="20"/>
      <w:lang w:val="es-ES_tradnl"/>
    </w:rPr>
  </w:style>
  <w:style w:type="paragraph" w:styleId="Asuntodelcomentario">
    <w:name w:val="annotation subject"/>
    <w:basedOn w:val="Textocomentario"/>
    <w:next w:val="Textocomentario"/>
    <w:link w:val="AsuntodelcomentarioCar"/>
    <w:uiPriority w:val="99"/>
    <w:semiHidden/>
    <w:unhideWhenUsed/>
    <w:rsid w:val="007C01E5"/>
    <w:rPr>
      <w:b/>
      <w:bCs/>
    </w:rPr>
  </w:style>
  <w:style w:type="character" w:customStyle="1" w:styleId="AsuntodelcomentarioCar">
    <w:name w:val="Asunto del comentario Car"/>
    <w:basedOn w:val="TextocomentarioCar"/>
    <w:link w:val="Asuntodelcomentario"/>
    <w:uiPriority w:val="99"/>
    <w:semiHidden/>
    <w:rsid w:val="007C01E5"/>
    <w:rPr>
      <w:b/>
      <w:bCs/>
      <w:sz w:val="20"/>
      <w:szCs w:val="20"/>
      <w:lang w:val="es-ES_tradnl"/>
    </w:rPr>
  </w:style>
  <w:style w:type="paragraph" w:styleId="Textodeglobo">
    <w:name w:val="Balloon Text"/>
    <w:basedOn w:val="Normal"/>
    <w:link w:val="TextodegloboCar"/>
    <w:uiPriority w:val="99"/>
    <w:semiHidden/>
    <w:unhideWhenUsed/>
    <w:rsid w:val="007C01E5"/>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C01E5"/>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43699">
      <w:bodyDiv w:val="1"/>
      <w:marLeft w:val="0"/>
      <w:marRight w:val="0"/>
      <w:marTop w:val="0"/>
      <w:marBottom w:val="0"/>
      <w:divBdr>
        <w:top w:val="none" w:sz="0" w:space="0" w:color="auto"/>
        <w:left w:val="none" w:sz="0" w:space="0" w:color="auto"/>
        <w:bottom w:val="none" w:sz="0" w:space="0" w:color="auto"/>
        <w:right w:val="none" w:sz="0" w:space="0" w:color="auto"/>
      </w:divBdr>
      <w:divsChild>
        <w:div w:id="1135219467">
          <w:marLeft w:val="0"/>
          <w:marRight w:val="0"/>
          <w:marTop w:val="0"/>
          <w:marBottom w:val="0"/>
          <w:divBdr>
            <w:top w:val="none" w:sz="0" w:space="0" w:color="auto"/>
            <w:left w:val="none" w:sz="0" w:space="0" w:color="auto"/>
            <w:bottom w:val="none" w:sz="0" w:space="0" w:color="auto"/>
            <w:right w:val="none" w:sz="0" w:space="0" w:color="auto"/>
          </w:divBdr>
          <w:divsChild>
            <w:div w:id="121669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89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165</TotalTime>
  <Pages>3</Pages>
  <Words>981</Words>
  <Characters>5396</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jerfry</dc:creator>
  <cp:keywords/>
  <dc:description/>
  <cp:lastModifiedBy>jerfry sanchez</cp:lastModifiedBy>
  <cp:revision>11</cp:revision>
  <dcterms:created xsi:type="dcterms:W3CDTF">2024-01-14T10:36:00Z</dcterms:created>
  <dcterms:modified xsi:type="dcterms:W3CDTF">2024-01-14T13:23:00Z</dcterms:modified>
</cp:coreProperties>
</file>